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Trame de charte informatique</w:t>
      </w:r>
    </w:p>
    <w:p>
      <w:r>
        <w:rPr>
          <w:i/>
          <w:color w:val="71717A"/>
        </w:rPr>
        <w:t>Dix articles, dans l'ordre des chartes publiques les mieux construites. Remplacez les crochets, supprimez ce qui ne s'applique pas, et faites relire par un conseil avant de l'annexer au règlement intérieur : cette trame n'est pas un avis juridique.</w:t>
      </w:r>
    </w:p>
    <w:p>
      <w:pPr>
        <w:pStyle w:val="Heading1"/>
      </w:pPr>
      <w:r>
        <w:t>Article 1 · Objet et champ d'application</w:t>
      </w:r>
    </w:p>
    <w:p>
      <w:pPr>
        <w:pStyle w:val="ListBullet"/>
      </w:pPr>
      <w:r>
        <w:t>À qui s'applique la charte : salariés, stagiaires, intérimaires, prestataires, [autres]</w:t>
      </w:r>
    </w:p>
    <w:p>
      <w:pPr>
        <w:pStyle w:val="ListBullet"/>
      </w:pPr>
      <w:r>
        <w:t>Quels moyens sont couverts : postes, mobiles, messagerie, réseau, applications métier, comptes cloud, appareils personnels utilisés pour le travail</w:t>
      </w:r>
    </w:p>
    <w:p>
      <w:pPr>
        <w:pStyle w:val="ListBullet"/>
      </w:pPr>
      <w:r>
        <w:t>Textes de référence : Code du travail, RGPD, loi Informatique et Libertés, Code pénal (atteintes aux systèmes de traitement automatisé de données)</w:t>
      </w:r>
    </w:p>
    <w:p>
      <w:r>
        <w:rPr>
          <w:i w:val="0"/>
          <w:color w:val="A1A1AA"/>
        </w:rPr>
        <w:t>[Votre rédaction ici]</w:t>
      </w:r>
    </w:p>
    <w:p>
      <w:pPr>
        <w:pStyle w:val="Heading1"/>
      </w:pPr>
      <w:r>
        <w:t>Article 2 · Conditions d'accès</w:t>
      </w:r>
    </w:p>
    <w:p>
      <w:pPr>
        <w:pStyle w:val="ListBullet"/>
      </w:pPr>
      <w:r>
        <w:t>Comptes nominatifs, non transférables</w:t>
      </w:r>
    </w:p>
    <w:p>
      <w:pPr>
        <w:pStyle w:val="ListBullet"/>
      </w:pPr>
      <w:r>
        <w:t>Règles de mots de passe : longueur, renouvellement, gestionnaire, double authentification</w:t>
      </w:r>
    </w:p>
    <w:p>
      <w:pPr>
        <w:pStyle w:val="ListBullet"/>
      </w:pPr>
      <w:r>
        <w:t>Fermeture des accès au départ et pendant les absences longues</w:t>
      </w:r>
    </w:p>
    <w:p>
      <w:r>
        <w:rPr>
          <w:i w:val="0"/>
          <w:color w:val="A1A1AA"/>
        </w:rPr>
        <w:t>[Votre rédaction ici]</w:t>
      </w:r>
    </w:p>
    <w:p>
      <w:pPr>
        <w:pStyle w:val="Heading1"/>
      </w:pPr>
      <w:r>
        <w:t>Article 3 · Règles d'usage professionnel</w:t>
      </w:r>
    </w:p>
    <w:p>
      <w:pPr>
        <w:pStyle w:val="ListBullet"/>
      </w:pPr>
      <w:r>
        <w:t>Ce qui est attendu : verrouiller son poste, ne pas installer de logiciel sans autorisation, ne pas contourner les protections</w:t>
      </w:r>
    </w:p>
    <w:p>
      <w:pPr>
        <w:pStyle w:val="ListBullet"/>
      </w:pPr>
      <w:r>
        <w:t>Ce qui est interdit : partager un compte, transférer des données professionnelles vers une messagerie personnelle, [autres]</w:t>
      </w:r>
    </w:p>
    <w:p>
      <w:r>
        <w:rPr>
          <w:i w:val="0"/>
          <w:color w:val="A1A1AA"/>
        </w:rPr>
        <w:t>[Votre rédaction ici]</w:t>
      </w:r>
    </w:p>
    <w:p>
      <w:pPr>
        <w:pStyle w:val="Heading1"/>
      </w:pPr>
      <w:r>
        <w:t>Article 4 · Usage personnel toléré</w:t>
      </w:r>
    </w:p>
    <w:p>
      <w:pPr>
        <w:pStyle w:val="ListBullet"/>
      </w:pPr>
      <w:r>
        <w:t>Ce qui est toléré, dans quelle mesure, et ce qui ne l'est pas</w:t>
      </w:r>
    </w:p>
    <w:p>
      <w:pPr>
        <w:pStyle w:val="ListBullet"/>
      </w:pPr>
      <w:r>
        <w:t>Le statut des fichiers et messages identifiés comme personnels</w:t>
      </w:r>
    </w:p>
    <w:p>
      <w:r>
        <w:rPr>
          <w:i w:val="0"/>
          <w:color w:val="A1A1AA"/>
        </w:rPr>
        <w:t>[Votre rédaction ici]</w:t>
      </w:r>
    </w:p>
    <w:p>
      <w:pPr>
        <w:pStyle w:val="Heading1"/>
      </w:pPr>
      <w:r>
        <w:t>Article 5 · Sécurité et signalement</w:t>
      </w:r>
    </w:p>
    <w:p>
      <w:pPr>
        <w:pStyle w:val="ListBullet"/>
      </w:pPr>
      <w:r>
        <w:t>Obligation de signaler tout incident, perte ou vol, message suspect, dans quel délai et à qui</w:t>
      </w:r>
    </w:p>
    <w:p>
      <w:pPr>
        <w:pStyle w:val="ListBullet"/>
      </w:pPr>
      <w:r>
        <w:t>Conduite en cas de doute : ne pas ouvrir, ne pas répondre, prévenir</w:t>
      </w:r>
    </w:p>
    <w:p>
      <w:r>
        <w:rPr>
          <w:i w:val="0"/>
          <w:color w:val="A1A1AA"/>
        </w:rPr>
        <w:t>[Votre rédaction ici]</w:t>
      </w:r>
    </w:p>
    <w:p>
      <w:pPr>
        <w:pStyle w:val="Heading1"/>
      </w:pPr>
      <w:r>
        <w:t>Article 6 · Données et confidentialité</w:t>
      </w:r>
    </w:p>
    <w:p>
      <w:pPr>
        <w:pStyle w:val="ListBullet"/>
      </w:pPr>
      <w:r>
        <w:t>Classification simple des données (publique, interne, confidentielle)</w:t>
      </w:r>
    </w:p>
    <w:p>
      <w:pPr>
        <w:pStyle w:val="ListBullet"/>
      </w:pPr>
      <w:r>
        <w:t>Règles de stockage, de partage et de destruction</w:t>
      </w:r>
    </w:p>
    <w:p>
      <w:pPr>
        <w:pStyle w:val="ListBullet"/>
      </w:pPr>
      <w:r>
        <w:t>Outils d'intelligence artificielle : ce qui peut ou ne peut pas y être saisi</w:t>
      </w:r>
    </w:p>
    <w:p>
      <w:r>
        <w:rPr>
          <w:i w:val="0"/>
          <w:color w:val="A1A1AA"/>
        </w:rPr>
        <w:t>[Votre rédaction ici]</w:t>
      </w:r>
    </w:p>
    <w:p>
      <w:pPr>
        <w:pStyle w:val="Heading1"/>
      </w:pPr>
      <w:r>
        <w:t>Article 7 · Contrôle par l'employeur</w:t>
      </w:r>
    </w:p>
    <w:p>
      <w:pPr>
        <w:pStyle w:val="ListBullet"/>
      </w:pPr>
      <w:r>
        <w:t>Dispositifs de journalisation et de filtrage existants, finalité, durée de conservation</w:t>
      </w:r>
    </w:p>
    <w:p>
      <w:pPr>
        <w:pStyle w:val="ListBullet"/>
      </w:pPr>
      <w:r>
        <w:t>Conditions d'accès aux messageries et fichiers, respect de la vie privée</w:t>
      </w:r>
    </w:p>
    <w:p>
      <w:pPr>
        <w:pStyle w:val="ListBullet"/>
      </w:pPr>
      <w:r>
        <w:t>Information des salariés et du CSE</w:t>
      </w:r>
    </w:p>
    <w:p>
      <w:r>
        <w:rPr>
          <w:i w:val="0"/>
          <w:color w:val="A1A1AA"/>
        </w:rPr>
        <w:t>[Votre rédaction ici]</w:t>
      </w:r>
    </w:p>
    <w:p>
      <w:pPr>
        <w:pStyle w:val="Heading1"/>
      </w:pPr>
      <w:r>
        <w:t>Article 8 · Matériel et télétravail</w:t>
      </w:r>
    </w:p>
    <w:p>
      <w:pPr>
        <w:pStyle w:val="ListBullet"/>
      </w:pPr>
      <w:r>
        <w:t>Matériel confié, responsabilités, restitution</w:t>
      </w:r>
    </w:p>
    <w:p>
      <w:pPr>
        <w:pStyle w:val="ListBullet"/>
      </w:pPr>
      <w:r>
        <w:t>Règles spécifiques au travail à distance et aux réseaux publics</w:t>
      </w:r>
    </w:p>
    <w:p>
      <w:r>
        <w:rPr>
          <w:i w:val="0"/>
          <w:color w:val="A1A1AA"/>
        </w:rPr>
        <w:t>[Votre rédaction ici]</w:t>
      </w:r>
    </w:p>
    <w:p>
      <w:pPr>
        <w:pStyle w:val="Heading1"/>
      </w:pPr>
      <w:r>
        <w:t>Article 9 · Sanctions</w:t>
      </w:r>
    </w:p>
    <w:p>
      <w:pPr>
        <w:pStyle w:val="ListBullet"/>
      </w:pPr>
      <w:r>
        <w:t>Rappel que le non-respect peut entraîner des sanctions disciplinaires prévues au règlement intérieur, sans préjudice des poursuites civiles ou pénales</w:t>
      </w:r>
    </w:p>
    <w:p>
      <w:r>
        <w:rPr>
          <w:i w:val="0"/>
          <w:color w:val="A1A1AA"/>
        </w:rPr>
        <w:t>[Votre rédaction ici]</w:t>
      </w:r>
    </w:p>
    <w:p>
      <w:pPr>
        <w:pStyle w:val="Heading1"/>
      </w:pPr>
      <w:r>
        <w:t>Article 10 · Entrée en vigueur et révision</w:t>
      </w:r>
    </w:p>
    <w:p>
      <w:pPr>
        <w:pStyle w:val="ListBullet"/>
      </w:pPr>
      <w:r>
        <w:t>Date, modalités de diffusion et d'acceptation, annexion au règlement intérieur, date de révision</w:t>
      </w:r>
    </w:p>
    <w:p>
      <w:r>
        <w:rPr>
          <w:i w:val="0"/>
          <w:color w:val="A1A1AA"/>
        </w:rPr>
        <w:t>[Votre rédaction ici]</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