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Brief d'infographie [Titre de travail]</w:t>
      </w:r>
    </w:p>
    <w:p>
      <w:r>
        <w:rPr>
          <w:b w:val="0"/>
          <w:i/>
          <w:color w:val="71717A"/>
        </w:rPr>
        <w:t>À remplir avant de briefer un graphiste ou une agence. Une infographie qui n'a pas de message unique ni de données sourcées ne se sauve pas à la mise en forme.</w:t>
      </w:r>
    </w:p>
    <w:p>
      <w:pPr>
        <w:pStyle w:val="Heading1"/>
      </w:pPr>
      <w:r>
        <w:t>1. Le message unique</w:t>
      </w:r>
    </w:p>
    <w:p>
      <w:r>
        <w:rPr>
          <w:b w:val="0"/>
          <w:i/>
          <w:color w:val="71717A"/>
        </w:rPr>
        <w:t>Ce que le lecteur doit retenir s'il ne lit que le titre. Une phrase, avec un verbe.</w:t>
      </w:r>
    </w:p>
    <w:p>
      <w:pPr>
        <w:pStyle w:val="ListBullet"/>
      </w:pPr>
      <w:r>
        <w:t>Titre-message : [phrase]</w:t>
      </w:r>
    </w:p>
    <w:p>
      <w:pPr>
        <w:pStyle w:val="ListBullet"/>
      </w:pPr>
      <w:r>
        <w:t>Chiffre d'appel : [le chiffre qui porte le message, avec sa source]</w:t>
      </w:r>
    </w:p>
    <w:p>
      <w:pPr>
        <w:pStyle w:val="Heading1"/>
      </w:pPr>
      <w:r>
        <w:t>2. Le lecteur et l'usage</w:t>
      </w:r>
    </w:p>
    <w:p>
      <w:r>
        <w:rPr>
          <w:b w:val="0"/>
          <w:i/>
          <w:color w:val="71717A"/>
        </w:rPr>
        <w:t>Pour qui, et où l'infographie sera vue.</w:t>
      </w:r>
    </w:p>
    <w:p>
      <w:pPr>
        <w:pStyle w:val="ListBullet"/>
      </w:pPr>
      <w:r>
        <w:t>Lecteur : [décideur, client, grand public, salariés]</w:t>
      </w:r>
    </w:p>
    <w:p>
      <w:pPr>
        <w:pStyle w:val="ListBullet"/>
      </w:pPr>
      <w:r>
        <w:t>Canal : [LinkedIn, site, PDF joint à un rapport, écran en salle, presse]</w:t>
      </w:r>
    </w:p>
    <w:p>
      <w:pPr>
        <w:pStyle w:val="ListBullet"/>
      </w:pPr>
      <w:r>
        <w:t>Format : [une page A4, verticale longue pour les réseaux, carré, plusieurs pages]</w:t>
      </w:r>
    </w:p>
    <w:p>
      <w:pPr>
        <w:pStyle w:val="Heading1"/>
      </w:pPr>
      <w:r>
        <w:t>3. Les données et leurs sources</w:t>
      </w:r>
    </w:p>
    <w:p>
      <w:r>
        <w:rPr>
          <w:b w:val="0"/>
          <w:i/>
          <w:color w:val="71717A"/>
        </w:rPr>
        <w:t>Chaque chiffre avec son origine, sa date et son périmètre. Pas de chiffre sans source.</w:t>
      </w:r>
    </w:p>
    <w:p>
      <w:pPr>
        <w:pStyle w:val="ListBullet"/>
      </w:pPr>
      <w:r>
        <w:t>Donnée 1 : [valeur] · source : [organisme, étude, date] · périmètre : [population, période]</w:t>
      </w:r>
    </w:p>
    <w:p>
      <w:pPr>
        <w:pStyle w:val="ListBullet"/>
      </w:pPr>
      <w:r>
        <w:t>Donnée 2 : [valeur] · source · périmètre</w:t>
      </w:r>
    </w:p>
    <w:p>
      <w:pPr>
        <w:pStyle w:val="ListBullet"/>
      </w:pPr>
      <w:r>
        <w:t>Donnée 3 : [valeur] · source · périmètre</w:t>
      </w:r>
    </w:p>
    <w:p>
      <w:pPr>
        <w:pStyle w:val="ListBullet"/>
      </w:pPr>
      <w:r>
        <w:t>Méthodologie à afficher : [échantillon, dates, mode de collecte]</w:t>
      </w:r>
    </w:p>
    <w:p>
      <w:pPr>
        <w:pStyle w:val="Heading1"/>
      </w:pPr>
      <w:r>
        <w:t>4. La structure</w:t>
      </w:r>
    </w:p>
    <w:p>
      <w:r>
        <w:rPr>
          <w:b w:val="0"/>
          <w:i/>
          <w:color w:val="71717A"/>
        </w:rPr>
        <w:t>L'ordre de lecture, en sections numérotées. Trois à cinq sections, chacune avec son titre en forme de message.</w:t>
      </w:r>
    </w:p>
    <w:p>
      <w:pPr>
        <w:pStyle w:val="ListBullet"/>
      </w:pPr>
      <w:r>
        <w:t>Section 1 : [titre-message] · contenu : [chiffres, schéma]</w:t>
      </w:r>
    </w:p>
    <w:p>
      <w:pPr>
        <w:pStyle w:val="ListBullet"/>
      </w:pPr>
      <w:r>
        <w:t>Section 2 : [titre-message] · contenu</w:t>
      </w:r>
    </w:p>
    <w:p>
      <w:pPr>
        <w:pStyle w:val="ListBullet"/>
      </w:pPr>
      <w:r>
        <w:t>Section 3 : [titre-message] · contenu</w:t>
      </w:r>
    </w:p>
    <w:p>
      <w:pPr>
        <w:pStyle w:val="ListBullet"/>
      </w:pPr>
      <w:r>
        <w:t>Conclusion ou appel : [ce que le lecteur fait ensuite]</w:t>
      </w:r>
    </w:p>
    <w:p>
      <w:pPr>
        <w:pStyle w:val="Heading1"/>
      </w:pPr>
      <w:r>
        <w:t>5. Les représentations</w:t>
      </w:r>
    </w:p>
    <w:p>
      <w:r>
        <w:rPr>
          <w:b w:val="0"/>
          <w:i/>
          <w:color w:val="71717A"/>
        </w:rPr>
        <w:t>Pour chaque donnée, la forme qui lui convient : comparaison, évolution, répartition, processus, carte.</w:t>
      </w:r>
    </w:p>
    <w:p>
      <w:pPr>
        <w:pStyle w:val="ListBullet"/>
      </w:pPr>
      <w:r>
        <w:t>[Donnée] → [barres, courbe, camembert, pyramide, frise, étapes numérotées, pictogrammes]</w:t>
      </w:r>
    </w:p>
    <w:p>
      <w:pPr>
        <w:pStyle w:val="Heading1"/>
      </w:pPr>
      <w:r>
        <w:t>6. L'identité et les contraintes</w:t>
      </w:r>
    </w:p>
    <w:p>
      <w:r>
        <w:rPr>
          <w:b w:val="0"/>
          <w:i/>
          <w:color w:val="71717A"/>
        </w:rPr>
        <w:t>Ce qui est imposé.</w:t>
      </w:r>
    </w:p>
    <w:p>
      <w:pPr>
        <w:pStyle w:val="ListBullet"/>
      </w:pPr>
      <w:r>
        <w:t>Logos et co-marquage : [organismes à faire figurer]</w:t>
      </w:r>
    </w:p>
    <w:p>
      <w:pPr>
        <w:pStyle w:val="ListBullet"/>
      </w:pPr>
      <w:r>
        <w:t>Couleurs, typographies : [charte ou libre]</w:t>
      </w:r>
    </w:p>
    <w:p>
      <w:pPr>
        <w:pStyle w:val="ListBullet"/>
      </w:pPr>
      <w:r>
        <w:t>Mentions obligatoires : [sources, date, crédit, licence]</w:t>
      </w:r>
    </w:p>
    <w:p>
      <w:pPr>
        <w:pStyle w:val="Heading1"/>
      </w:pPr>
      <w:r>
        <w:t>7. L'accessibilité et la diffusion</w:t>
      </w:r>
    </w:p>
    <w:p>
      <w:r>
        <w:rPr>
          <w:b w:val="0"/>
          <w:i/>
          <w:color w:val="71717A"/>
        </w:rPr>
        <w:t>Ce qui rend l'infographie lisible par tous et réutilisable.</w:t>
      </w:r>
    </w:p>
    <w:p>
      <w:pPr>
        <w:pStyle w:val="ListBullet"/>
      </w:pPr>
      <w:r>
        <w:t>Transcription textuelle : [oui, à fournir avec l'infographie]</w:t>
      </w:r>
    </w:p>
    <w:p>
      <w:pPr>
        <w:pStyle w:val="ListBullet"/>
      </w:pPr>
      <w:r>
        <w:t>Texte alternatif de l'image : [phrase]</w:t>
      </w:r>
    </w:p>
    <w:p>
      <w:pPr>
        <w:pStyle w:val="ListBullet"/>
      </w:pPr>
      <w:r>
        <w:t>Déclinaisons : [PDF, image réseaux, version imprimable]</w:t>
      </w:r>
    </w:p>
    <w:p>
      <w:pPr>
        <w:pStyle w:val="ListBullet"/>
      </w:pPr>
      <w:r>
        <w:t>Date de péremption : [quand les chiffres seront dépassés]</w:t>
      </w:r>
    </w:p>
    <w:p>
      <w:pPr>
        <w:pStyle w:val="Heading1"/>
      </w:pPr>
      <w:r>
        <w:t>8. Validation</w:t>
      </w:r>
    </w:p>
    <w:p>
      <w:r>
        <w:rPr>
          <w:b w:val="0"/>
          <w:i/>
          <w:color w:val="71717A"/>
        </w:rPr>
        <w:t>Qui relit quoi, et quand.</w:t>
      </w:r>
    </w:p>
    <w:p>
      <w:pPr>
        <w:pStyle w:val="ListBullet"/>
      </w:pPr>
      <w:r>
        <w:t>Relecture des chiffres : [qui] avant le [date]</w:t>
      </w:r>
    </w:p>
    <w:p>
      <w:pPr>
        <w:pStyle w:val="ListBullet"/>
      </w:pPr>
      <w:r>
        <w:t>Relecture juridique ou de marque : [qui]</w:t>
      </w:r>
    </w:p>
    <w:p>
      <w:pPr>
        <w:pStyle w:val="ListBullet"/>
      </w:pPr>
      <w:r>
        <w:t>Livraison : [date] · fichiers sources : [oui, format]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